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C9324" w14:textId="4A3BFE85" w:rsidR="00C42737" w:rsidRDefault="00A70EB5" w:rsidP="00A6541E">
      <w:pPr>
        <w:pStyle w:val="Title"/>
        <w:rPr>
          <w:lang w:val="fr-CA"/>
        </w:rPr>
      </w:pPr>
      <w:r>
        <w:rPr>
          <w:lang w:val="fr-CA"/>
        </w:rPr>
        <w:t xml:space="preserve">Sécuriser les déplacements de patients </w:t>
      </w:r>
      <w:r w:rsidR="00163855">
        <w:rPr>
          <w:lang w:val="fr-CA"/>
        </w:rPr>
        <w:t xml:space="preserve">ayant </w:t>
      </w:r>
      <w:r w:rsidR="00F71A2A">
        <w:rPr>
          <w:lang w:val="fr-CA"/>
        </w:rPr>
        <w:t>D</w:t>
      </w:r>
      <w:r w:rsidR="00163855">
        <w:rPr>
          <w:lang w:val="fr-CA"/>
        </w:rPr>
        <w:t>es troubles visuels</w:t>
      </w:r>
    </w:p>
    <w:p w14:paraId="76BC6866" w14:textId="2E5FD3C3" w:rsidR="00DF171D" w:rsidRPr="00373917" w:rsidRDefault="00DF171D" w:rsidP="00163855">
      <w:pPr>
        <w:pStyle w:val="Subtitle"/>
        <w:rPr>
          <w:b/>
          <w:bCs/>
          <w:lang w:val="fr-CA"/>
        </w:rPr>
      </w:pPr>
      <w:r w:rsidRPr="00373917">
        <w:rPr>
          <w:b/>
          <w:bCs/>
          <w:lang w:val="fr-CA"/>
        </w:rPr>
        <w:t>Formation pratique</w:t>
      </w:r>
    </w:p>
    <w:p w14:paraId="2D4BAA05" w14:textId="28AAE39E" w:rsidR="00DF171D" w:rsidRPr="004A2A18" w:rsidRDefault="002B5687">
      <w:p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t>Contenu</w:t>
      </w:r>
      <w:r w:rsidR="00DF171D" w:rsidRPr="004A2A1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t> :</w:t>
      </w:r>
      <w:r w:rsidR="00DF171D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</w:t>
      </w:r>
      <w:r w:rsidR="00F71A2A" w:rsidRPr="004A2A18">
        <w:rPr>
          <w:rFonts w:ascii="Verdana" w:hAnsi="Verdana"/>
          <w:color w:val="595959" w:themeColor="text1" w:themeTint="A6"/>
          <w:sz w:val="20"/>
          <w:szCs w:val="20"/>
          <w:lang w:val="fr-CA"/>
        </w:rPr>
        <w:t>Sensibilisation sur les problèmes de mobilité chez les personnes malvoyante (2 heures), Apprivoiser les techniques de protection (1 heure), Apprendre les techniques de guide humain (4 heures)</w:t>
      </w:r>
      <w:r w:rsidR="00DF171D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. Au total</w:t>
      </w:r>
      <w:r w:rsidR="00DE31E4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</w:t>
      </w:r>
      <w:r w:rsidR="00DF171D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: 7 </w:t>
      </w:r>
      <w:r w:rsidR="00B57FAC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heures</w:t>
      </w:r>
    </w:p>
    <w:p w14:paraId="262F54B2" w14:textId="4B4C6DB4" w:rsidR="00163855" w:rsidRPr="004A2A18" w:rsidRDefault="00163855" w:rsidP="00AF4701">
      <w:pPr>
        <w:pStyle w:val="CommentText"/>
        <w:rPr>
          <w:rStyle w:val="SubtleEmphasis"/>
          <w:rFonts w:ascii="Verdana" w:hAnsi="Verdana"/>
          <w:i w:val="0"/>
          <w:iCs w:val="0"/>
          <w:lang w:val="fr-CA"/>
        </w:rPr>
      </w:pPr>
      <w:r w:rsidRPr="004A2A18">
        <w:rPr>
          <w:rStyle w:val="SubtleEmphasis"/>
          <w:rFonts w:ascii="Verdana" w:hAnsi="Verdana"/>
          <w:b/>
          <w:bCs/>
          <w:i w:val="0"/>
          <w:iCs w:val="0"/>
          <w:lang w:val="fr-CA"/>
        </w:rPr>
        <w:t>Participants ciblés</w:t>
      </w:r>
      <w:r w:rsidRPr="004A2A18">
        <w:rPr>
          <w:rStyle w:val="SubtleEmphasis"/>
          <w:rFonts w:ascii="Verdana" w:hAnsi="Verdana"/>
          <w:i w:val="0"/>
          <w:iCs w:val="0"/>
          <w:lang w:val="fr-CA"/>
        </w:rPr>
        <w:t xml:space="preserve"> : </w:t>
      </w:r>
      <w:r w:rsidR="00F71A2A" w:rsidRPr="004A2A18">
        <w:rPr>
          <w:rFonts w:ascii="Verdana" w:hAnsi="Verdana"/>
          <w:color w:val="595959" w:themeColor="text1" w:themeTint="A6"/>
          <w:lang w:val="fr-CA"/>
        </w:rPr>
        <w:t xml:space="preserve">Préposés aux bénéficiaires, Professionnels de la réadaptation (physiothérapeutes, ergothérapeutes), </w:t>
      </w:r>
      <w:r w:rsidR="00AF4701">
        <w:rPr>
          <w:rFonts w:ascii="Verdana" w:hAnsi="Verdana"/>
          <w:color w:val="595959" w:themeColor="text1" w:themeTint="A6"/>
          <w:lang w:val="fr-CA"/>
        </w:rPr>
        <w:t>I</w:t>
      </w:r>
      <w:r w:rsidR="00F71A2A" w:rsidRPr="004A2A18">
        <w:rPr>
          <w:rFonts w:ascii="Verdana" w:hAnsi="Verdana"/>
          <w:color w:val="595959" w:themeColor="text1" w:themeTint="A6"/>
          <w:lang w:val="fr-CA"/>
        </w:rPr>
        <w:t xml:space="preserve">nfirmiers </w:t>
      </w:r>
      <w:r w:rsidR="00AF4701">
        <w:rPr>
          <w:rFonts w:ascii="Verdana" w:hAnsi="Verdana"/>
          <w:color w:val="595959" w:themeColor="text1" w:themeTint="A6"/>
          <w:lang w:val="fr-CA"/>
        </w:rPr>
        <w:t>et B</w:t>
      </w:r>
      <w:r w:rsidR="00F71A2A" w:rsidRPr="004A2A18">
        <w:rPr>
          <w:rFonts w:ascii="Verdana" w:hAnsi="Verdana"/>
          <w:color w:val="595959" w:themeColor="text1" w:themeTint="A6"/>
          <w:lang w:val="fr-CA"/>
        </w:rPr>
        <w:t>énévoles de l’hôpital</w:t>
      </w:r>
    </w:p>
    <w:p w14:paraId="7CEE18E0" w14:textId="202AF255" w:rsidR="00303364" w:rsidRPr="004A2A18" w:rsidRDefault="00DF171D">
      <w:pPr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t>Description</w:t>
      </w:r>
      <w:r w:rsidR="005466C3" w:rsidRPr="004A2A1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t> :</w:t>
      </w:r>
      <w:r w:rsidR="00DE31E4" w:rsidRPr="004A2A1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t xml:space="preserve"> </w:t>
      </w:r>
      <w:r w:rsidR="001366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Nombreux patients éprouvent </w:t>
      </w:r>
      <w:r w:rsidR="00F71A2A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des </w:t>
      </w:r>
      <w:r w:rsidR="001366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troubles visuels pendant leur séjour à l’hôpital en raison d’un AVC, </w:t>
      </w:r>
      <w:r w:rsidR="00F71A2A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d’une </w:t>
      </w:r>
      <w:r w:rsidR="001366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infection,</w:t>
      </w:r>
      <w:r w:rsidR="00F71A2A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de </w:t>
      </w:r>
      <w:r w:rsidR="001366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traitements de chimiothérapie,</w:t>
      </w:r>
      <w:r w:rsidR="00F71A2A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de</w:t>
      </w:r>
      <w:r w:rsidR="001366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troubles cardiaques et </w:t>
      </w:r>
      <w:r w:rsidR="00F71A2A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d’</w:t>
      </w:r>
      <w:r w:rsidR="001366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autres raisons médical</w:t>
      </w:r>
      <w:r w:rsidR="00F71A2A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es</w:t>
      </w:r>
      <w:r w:rsidR="001366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. </w:t>
      </w:r>
      <w:r w:rsidR="00372D36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A</w:t>
      </w:r>
      <w:r w:rsidR="00FF56F0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u Canada, </w:t>
      </w:r>
      <w:r w:rsidR="001366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pr</w:t>
      </w:r>
      <w:r w:rsidR="00DE31E4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e</w:t>
      </w:r>
      <w:r w:rsidR="00E00075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sque 6 </w:t>
      </w:r>
      <w:proofErr w:type="gramStart"/>
      <w:r w:rsidR="00E00075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pourcent</w:t>
      </w:r>
      <w:proofErr w:type="gramEnd"/>
      <w:r w:rsidR="00E00075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</w:t>
      </w:r>
      <w:r w:rsidR="001366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de la population</w:t>
      </w:r>
      <w:r w:rsidR="00FF56F0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vit avec une déficience visuelle et </w:t>
      </w:r>
      <w:r w:rsidR="001366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plus que</w:t>
      </w:r>
      <w:r w:rsidR="00E00075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15 </w:t>
      </w:r>
      <w:proofErr w:type="gramStart"/>
      <w:r w:rsidR="00E00075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pourcent</w:t>
      </w:r>
      <w:proofErr w:type="gramEnd"/>
      <w:r w:rsidR="00FF56F0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</w:t>
      </w:r>
      <w:r w:rsidR="001366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de</w:t>
      </w:r>
      <w:r w:rsidR="00E00075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s</w:t>
      </w:r>
      <w:r w:rsidR="00FF56F0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personnes âgée de 75 </w:t>
      </w:r>
      <w:r w:rsidR="001366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ans et plus</w:t>
      </w:r>
      <w:r w:rsidR="00FF56F0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. </w:t>
      </w:r>
      <w:r w:rsidR="00303364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Les patients ayant les troubles visue</w:t>
      </w:r>
      <w:r w:rsidR="00DE31E4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l</w:t>
      </w:r>
      <w:r w:rsidR="00303364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s ont des difficultés de navigation dans l’hôpital</w:t>
      </w:r>
      <w:r w:rsidR="00FF56F0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qui pose</w:t>
      </w:r>
      <w:r w:rsidR="008E3C6C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nt</w:t>
      </w:r>
      <w:r w:rsidR="00FF56F0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des risques importants à leur sécurité. Au Canada, les personnes malvoyantes subissent deux fois plus de chutes, quatre fois plus de fractures de la hanche et elles sont trois fois plus à risqu</w:t>
      </w:r>
      <w:r w:rsidR="00DE31E4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e</w:t>
      </w:r>
      <w:r w:rsidR="00FF56F0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de présenter des symptômes dépressifs. </w:t>
      </w:r>
      <w:r w:rsidR="00372D36" w:rsidRPr="004A2A18">
        <w:rPr>
          <w:rFonts w:ascii="Verdana" w:hAnsi="Verdana" w:cs="Arial"/>
          <w:color w:val="595959" w:themeColor="text1" w:themeTint="A6"/>
          <w:sz w:val="20"/>
          <w:szCs w:val="20"/>
          <w:lang w:val="fr-CA"/>
        </w:rPr>
        <w:t xml:space="preserve">Les patients malvoyants </w:t>
      </w:r>
      <w:r w:rsidR="008E3C6C" w:rsidRPr="004A2A18">
        <w:rPr>
          <w:rFonts w:ascii="Verdana" w:hAnsi="Verdana" w:cs="Arial"/>
          <w:color w:val="595959" w:themeColor="text1" w:themeTint="A6"/>
          <w:sz w:val="20"/>
          <w:szCs w:val="20"/>
          <w:lang w:val="fr-CA"/>
        </w:rPr>
        <w:t xml:space="preserve">ont </w:t>
      </w:r>
      <w:r w:rsidR="00372D36" w:rsidRPr="004A2A18">
        <w:rPr>
          <w:rFonts w:ascii="Verdana" w:hAnsi="Verdana" w:cs="Arial"/>
          <w:color w:val="595959" w:themeColor="text1" w:themeTint="A6"/>
          <w:sz w:val="20"/>
          <w:szCs w:val="20"/>
          <w:lang w:val="fr-CA"/>
        </w:rPr>
        <w:t>des séjours plus longs à l'hôpital, des taux de réadmission plus élevés et</w:t>
      </w:r>
      <w:r w:rsidR="008E3C6C" w:rsidRPr="004A2A18">
        <w:rPr>
          <w:rFonts w:ascii="Verdana" w:hAnsi="Verdana" w:cs="Arial"/>
          <w:color w:val="595959" w:themeColor="text1" w:themeTint="A6"/>
          <w:sz w:val="20"/>
          <w:szCs w:val="20"/>
          <w:lang w:val="fr-CA"/>
        </w:rPr>
        <w:t xml:space="preserve"> génèrent</w:t>
      </w:r>
      <w:r w:rsidR="00372D36" w:rsidRPr="004A2A18">
        <w:rPr>
          <w:rFonts w:ascii="Verdana" w:hAnsi="Verdana" w:cs="Arial"/>
          <w:color w:val="595959" w:themeColor="text1" w:themeTint="A6"/>
          <w:sz w:val="20"/>
          <w:szCs w:val="20"/>
          <w:lang w:val="fr-CA"/>
        </w:rPr>
        <w:t xml:space="preserve"> de</w:t>
      </w:r>
      <w:r w:rsidR="008E3C6C" w:rsidRPr="004A2A18">
        <w:rPr>
          <w:rFonts w:ascii="Verdana" w:hAnsi="Verdana" w:cs="Arial"/>
          <w:color w:val="595959" w:themeColor="text1" w:themeTint="A6"/>
          <w:sz w:val="20"/>
          <w:szCs w:val="20"/>
          <w:lang w:val="fr-CA"/>
        </w:rPr>
        <w:t>s c</w:t>
      </w:r>
      <w:r w:rsidR="00372D36" w:rsidRPr="004A2A18">
        <w:rPr>
          <w:rFonts w:ascii="Verdana" w:hAnsi="Verdana" w:cs="Arial"/>
          <w:color w:val="595959" w:themeColor="text1" w:themeTint="A6"/>
          <w:sz w:val="20"/>
          <w:szCs w:val="20"/>
          <w:lang w:val="fr-CA"/>
        </w:rPr>
        <w:t xml:space="preserve">oûts plus élevés par rapport aux patients sans déficience visuelle. </w:t>
      </w:r>
      <w:r w:rsidR="00303364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Les personnes malvoyantes pourrai</w:t>
      </w:r>
      <w:r w:rsidR="009A559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en</w:t>
      </w:r>
      <w:r w:rsidR="00303364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t se déplacer en toute sécurité dans l’hôpital avec l’aide d</w:t>
      </w:r>
      <w:r w:rsidR="009A559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’</w:t>
      </w:r>
      <w:r w:rsidR="00303364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intervenant formés sur </w:t>
      </w:r>
      <w:r w:rsidR="00372D36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les techniques a</w:t>
      </w:r>
      <w:r w:rsidR="009A559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daptées à</w:t>
      </w:r>
      <w:r w:rsidR="00303364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leurs condition visuelles.</w:t>
      </w:r>
      <w:r w:rsidR="00904EAD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De plus, la favorisation de la mobilité chez les patients avec les troubles visuels diminue les risques associés à l’immobilisation lors de leur séjour à l’hôpital</w:t>
      </w:r>
      <w:r w:rsidR="008D41EB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(risque de déconditionnement, plaies, infections urinaires, etc.)</w:t>
      </w:r>
      <w:r w:rsidR="00904EAD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.</w:t>
      </w:r>
    </w:p>
    <w:p w14:paraId="478F95E3" w14:textId="3A8A1F71" w:rsidR="00DF171D" w:rsidRPr="004A2A18" w:rsidRDefault="00B57FAC">
      <w:p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t>No</w:t>
      </w:r>
      <w:r w:rsidR="00DF171D" w:rsidRPr="004A2A1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t>mbre de places</w:t>
      </w:r>
      <w:r w:rsidR="00DF171D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 : Minimum 6, maximum 10</w:t>
      </w:r>
    </w:p>
    <w:p w14:paraId="6CDFCB04" w14:textId="3EA4C3CD" w:rsidR="00DF171D" w:rsidRPr="004A2A18" w:rsidRDefault="00DF171D">
      <w:p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t>Coût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 : 2</w:t>
      </w:r>
      <w:r w:rsidR="00E84A5C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5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0.00$</w:t>
      </w:r>
      <w:r w:rsidR="00DE31E4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/personne</w:t>
      </w:r>
      <w:r w:rsidR="008E3C6C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; </w:t>
      </w:r>
      <w:r w:rsidR="00E84A5C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12</w:t>
      </w:r>
      <w:r w:rsidR="008E3C6C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50.00$/groupe</w:t>
      </w:r>
    </w:p>
    <w:p w14:paraId="414EB845" w14:textId="73593EA3" w:rsidR="00DF171D" w:rsidRPr="004A2A18" w:rsidRDefault="00DF171D">
      <w:p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lastRenderedPageBreak/>
        <w:t>Lieu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 : Milieu ho</w:t>
      </w:r>
      <w:r w:rsidR="00B57FAC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s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pitalier</w:t>
      </w:r>
      <w:r w:rsidR="005466C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. </w:t>
      </w:r>
      <w:r w:rsidR="002048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S</w:t>
      </w:r>
      <w:r w:rsidR="006A6321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ensibili</w:t>
      </w:r>
      <w:r w:rsidR="009A559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s</w:t>
      </w:r>
      <w:r w:rsidR="006A6321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ation </w:t>
      </w:r>
      <w:r w:rsidR="009A559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aux</w:t>
      </w:r>
      <w:r w:rsidR="002048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troubles visuels sera </w:t>
      </w:r>
      <w:r w:rsidR="00FC7BF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effectu</w:t>
      </w:r>
      <w:r w:rsidR="0020486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é</w:t>
      </w:r>
      <w:r w:rsidR="00FC7BF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en</w:t>
      </w:r>
      <w:r w:rsidR="006A6321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salle</w:t>
      </w:r>
      <w:r w:rsidR="005466C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. Techniques de protection et de guide </w:t>
      </w:r>
      <w:r w:rsidR="009A559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seront réalisés dans</w:t>
      </w:r>
      <w:r w:rsidR="005466C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divers milieu </w:t>
      </w:r>
      <w:r w:rsidR="009A559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du centre </w:t>
      </w:r>
      <w:r w:rsidR="005466C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hospitalier.</w:t>
      </w:r>
    </w:p>
    <w:p w14:paraId="5E75BA6E" w14:textId="67C59294" w:rsidR="004220AB" w:rsidRPr="004A2A18" w:rsidRDefault="004220AB" w:rsidP="009170C1">
      <w:p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t>Objectifs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 :</w:t>
      </w:r>
      <w:r w:rsidR="00B57FAC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À la fin de la formation, chaque participant sera en mesure de :</w:t>
      </w:r>
    </w:p>
    <w:p w14:paraId="7ACCC1AB" w14:textId="2BFCD025" w:rsidR="00FD4345" w:rsidRPr="004A2A18" w:rsidRDefault="00FD4345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Identifier les problèmes de mobilité nommés par les personnes ma</w:t>
      </w:r>
      <w:r w:rsidR="00B57FAC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l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voyantes</w:t>
      </w:r>
    </w:p>
    <w:p w14:paraId="39EA894F" w14:textId="54F1099A" w:rsidR="004220AB" w:rsidRPr="004A2A18" w:rsidRDefault="004220AB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Analyser les risques associés </w:t>
      </w:r>
      <w:r w:rsidR="00FD4345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aux restrictions de mobilité pour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</w:t>
      </w:r>
      <w:r w:rsidR="00FD4345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l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es patients ma</w:t>
      </w:r>
      <w:r w:rsidR="00B57FAC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l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voyantes</w:t>
      </w:r>
    </w:p>
    <w:p w14:paraId="044EE605" w14:textId="57CBCD3A" w:rsidR="004220AB" w:rsidRPr="004A2A18" w:rsidRDefault="00DF6CDF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S</w:t>
      </w:r>
      <w:r w:rsidR="006A6321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é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lectionner</w:t>
      </w:r>
      <w:r w:rsidR="004220AB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les méthodes appropriées</w:t>
      </w:r>
      <w:r w:rsidR="004220AB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pour sécuriser les déplacements de patients pendant leur séjour à l’hôpital</w:t>
      </w:r>
    </w:p>
    <w:p w14:paraId="10388478" w14:textId="7EEF9B63" w:rsidR="009170C1" w:rsidRPr="004A2A18" w:rsidRDefault="006A6321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E</w:t>
      </w:r>
      <w:r w:rsidR="009170C1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nseigner les techniques de protection autonome aux patients malvoyantes et leurs proches</w:t>
      </w:r>
    </w:p>
    <w:p w14:paraId="6820ABF1" w14:textId="4B2D4CD0" w:rsidR="009170C1" w:rsidRPr="004A2A18" w:rsidRDefault="006A6321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G</w:t>
      </w:r>
      <w:r w:rsidR="009170C1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uider les patients malvoyants dans l’hôpital en tout sécurité</w:t>
      </w:r>
    </w:p>
    <w:p w14:paraId="054D7E89" w14:textId="2E98DD30" w:rsidR="00E869D7" w:rsidRPr="004A2A18" w:rsidRDefault="006A6321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F</w:t>
      </w:r>
      <w:r w:rsidR="00E869D7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aciliter les déplacements de patients malvoyants pour les rendez-vous en clinique</w:t>
      </w:r>
      <w:r w:rsidR="000E64F5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externe</w:t>
      </w:r>
    </w:p>
    <w:p w14:paraId="712EADF2" w14:textId="3ACC0C08" w:rsidR="004220AB" w:rsidRPr="004A2A18" w:rsidRDefault="006A6321" w:rsidP="00EB13EF">
      <w:pPr>
        <w:pStyle w:val="ListParagraph"/>
        <w:numPr>
          <w:ilvl w:val="0"/>
          <w:numId w:val="1"/>
        </w:num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R</w:t>
      </w:r>
      <w:r w:rsidR="004220AB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éférer les personnes malvoyants aux services appropriés</w:t>
      </w:r>
      <w:r w:rsidR="00DF6CDF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à la fin de leur hospitalisation</w:t>
      </w:r>
    </w:p>
    <w:p w14:paraId="26369720" w14:textId="34DCE9F8" w:rsidR="004220AB" w:rsidRPr="004A2A18" w:rsidRDefault="007620C9">
      <w:p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t>Attestation 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:</w:t>
      </w:r>
    </w:p>
    <w:p w14:paraId="1A08AB2F" w14:textId="480ED9B4" w:rsidR="007620C9" w:rsidRPr="004A2A18" w:rsidRDefault="006A6321">
      <w:p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A</w:t>
      </w:r>
      <w:r w:rsidR="007620C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ttestation de réussite lorsque la mesure d’apprentissage sera complétée et approuvée par la personne formatrice</w:t>
      </w:r>
    </w:p>
    <w:p w14:paraId="25A0068E" w14:textId="0EE7F77B" w:rsidR="007620C9" w:rsidRPr="004A2A18" w:rsidRDefault="007620C9" w:rsidP="00BA0D74">
      <w:pPr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t>Formateur :</w:t>
      </w:r>
    </w:p>
    <w:p w14:paraId="4DBA5456" w14:textId="23E42866" w:rsidR="00B87C3A" w:rsidRPr="004A2A18" w:rsidRDefault="000B0EEF" w:rsidP="000B0EEF">
      <w:pPr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i w:val="0"/>
          <w:iCs w:val="0"/>
          <w:noProof/>
          <w:sz w:val="20"/>
          <w:szCs w:val="20"/>
          <w:lang w:val="fr-CA" w:eastAsia="fr-CA"/>
        </w:rPr>
        <w:drawing>
          <wp:anchor distT="0" distB="0" distL="114300" distR="114300" simplePos="0" relativeHeight="251658240" behindDoc="1" locked="0" layoutInCell="1" allowOverlap="1" wp14:anchorId="31031FEF" wp14:editId="02EE8A87">
            <wp:simplePos x="0" y="0"/>
            <wp:positionH relativeFrom="margin">
              <wp:align>right</wp:align>
            </wp:positionH>
            <wp:positionV relativeFrom="paragraph">
              <wp:posOffset>162560</wp:posOffset>
            </wp:positionV>
            <wp:extent cx="1724660" cy="1496695"/>
            <wp:effectExtent l="0" t="318" r="8573" b="8572"/>
            <wp:wrapTight wrapText="bothSides">
              <wp:wrapPolygon edited="0">
                <wp:start x="-4" y="21595"/>
                <wp:lineTo x="21469" y="21595"/>
                <wp:lineTo x="21469" y="151"/>
                <wp:lineTo x="-4" y="151"/>
                <wp:lineTo x="-4" y="2159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40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" r="9705"/>
                    <a:stretch/>
                  </pic:blipFill>
                  <pic:spPr bwMode="auto">
                    <a:xfrm rot="5400000">
                      <a:off x="0" y="0"/>
                      <a:ext cx="1724660" cy="1496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20C9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Joe Nemargut, COMS, PhD</w:t>
      </w:r>
    </w:p>
    <w:p w14:paraId="0A5A32EC" w14:textId="1E0A43A1" w:rsidR="00DF171D" w:rsidRDefault="006A6321" w:rsidP="006A6321">
      <w:pPr>
        <w:spacing w:after="240"/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E</w:t>
      </w:r>
      <w:r w:rsidR="00FF56F0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n tant que spécialiste en orientation et mobilité, je vise à améliorer la qualité de vie et la participation sociale des usagers en leur permettant d’assurer leur sécurité et autonomie dans leurs déplacements. 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D</w:t>
      </w:r>
      <w:r w:rsidR="00B87C3A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epuis ma graduation comme spécialiste en orientation et mobilité à l’Université de Montréal en 2015, et grâce à mes études doctorales </w:t>
      </w:r>
      <w:r w:rsidR="00FC7BF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et postdoctora</w:t>
      </w:r>
      <w:r w:rsidR="009A559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les</w:t>
      </w:r>
      <w:r w:rsidR="00FC7BF3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</w:t>
      </w:r>
      <w:r w:rsidR="00B87C3A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reliées à la physiologie de la rétine, j’ai pu mettre à profit mes connaissances pour former et entraîner les étudiants au programme de spécialistes en orientation et mobilité. 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J</w:t>
      </w:r>
      <w:r w:rsidR="00B87C3A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’ai intégré au cours de nouvelles approches qui visent à entraîner les personnes à basse vision à se déplacer de façon sécuritaire. </w:t>
      </w:r>
      <w:r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J</w:t>
      </w:r>
      <w:r w:rsidR="00FF56F0" w:rsidRPr="004A2A1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'ai travaillé avec des clients malvoyants de tous les groupes d'âge ainsi que des personnes polyhandicapées.</w:t>
      </w:r>
    </w:p>
    <w:p w14:paraId="181358C1" w14:textId="77777777" w:rsidR="004A2A18" w:rsidRPr="004A3668" w:rsidRDefault="004A2A18" w:rsidP="00772D6F">
      <w:pPr>
        <w:spacing w:after="120"/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</w:pPr>
      <w:r w:rsidRPr="004A3668">
        <w:rPr>
          <w:rStyle w:val="SubtleEmphasis"/>
          <w:rFonts w:ascii="Verdana" w:hAnsi="Verdana"/>
          <w:b/>
          <w:bCs/>
          <w:i w:val="0"/>
          <w:iCs w:val="0"/>
          <w:sz w:val="20"/>
          <w:szCs w:val="20"/>
          <w:lang w:val="fr-CA"/>
        </w:rPr>
        <w:t>Inscription :</w:t>
      </w:r>
    </w:p>
    <w:p w14:paraId="3940ABE5" w14:textId="48A6C182" w:rsidR="004A2A18" w:rsidRPr="004A3668" w:rsidRDefault="004A2A18" w:rsidP="00772D6F">
      <w:pPr>
        <w:spacing w:after="120"/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</w:pPr>
      <w:r w:rsidRPr="004A366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Pour s’inscrire ou plus d’informations envoyez un courriel à</w:t>
      </w:r>
      <w:r w:rsidR="00301FAA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</w:t>
      </w:r>
      <w:hyperlink r:id="rId6" w:history="1">
        <w:r w:rsidR="00301FAA" w:rsidRPr="00301FAA">
          <w:rPr>
            <w:rStyle w:val="Hyperlink"/>
            <w:rFonts w:ascii="Verdana" w:hAnsi="Verdana"/>
            <w:sz w:val="18"/>
            <w:szCs w:val="18"/>
            <w:lang w:val="fr-CA"/>
          </w:rPr>
          <w:t>formation@povsolutions.ca</w:t>
        </w:r>
      </w:hyperlink>
    </w:p>
    <w:p w14:paraId="493C8CB5" w14:textId="0B6D3A82" w:rsidR="00772D6F" w:rsidRPr="004A2A18" w:rsidRDefault="004A2A18" w:rsidP="00772D6F">
      <w:pPr>
        <w:spacing w:after="120"/>
        <w:rPr>
          <w:rFonts w:ascii="Verdana" w:hAnsi="Verdana"/>
          <w:color w:val="595959" w:themeColor="text1" w:themeTint="A6"/>
          <w:sz w:val="20"/>
          <w:szCs w:val="20"/>
          <w:lang w:val="fr-CA"/>
        </w:rPr>
      </w:pPr>
      <w:r w:rsidRPr="004A366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Paiement par chèque</w:t>
      </w:r>
      <w:r w:rsidR="008D41EB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 :</w:t>
      </w:r>
      <w:r w:rsidRPr="004A3668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 xml:space="preserve"> s’adresser à Joe Nemargu</w:t>
      </w:r>
      <w:r w:rsidR="00967B77">
        <w:rPr>
          <w:rStyle w:val="SubtleEmphasis"/>
          <w:rFonts w:ascii="Verdana" w:hAnsi="Verdana"/>
          <w:i w:val="0"/>
          <w:iCs w:val="0"/>
          <w:sz w:val="20"/>
          <w:szCs w:val="20"/>
          <w:lang w:val="fr-CA"/>
        </w:rPr>
        <w:t>t</w:t>
      </w:r>
    </w:p>
    <w:sectPr w:rsidR="00772D6F" w:rsidRPr="004A2A1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C3D69"/>
    <w:multiLevelType w:val="hybridMultilevel"/>
    <w:tmpl w:val="3E98D6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272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EB5"/>
    <w:rsid w:val="000B0EEF"/>
    <w:rsid w:val="000E64F5"/>
    <w:rsid w:val="00107DDB"/>
    <w:rsid w:val="00136669"/>
    <w:rsid w:val="00163855"/>
    <w:rsid w:val="00204869"/>
    <w:rsid w:val="002B5687"/>
    <w:rsid w:val="00301FAA"/>
    <w:rsid w:val="00303364"/>
    <w:rsid w:val="00304AC6"/>
    <w:rsid w:val="00372D36"/>
    <w:rsid w:val="00373917"/>
    <w:rsid w:val="004220AB"/>
    <w:rsid w:val="00456685"/>
    <w:rsid w:val="00475A89"/>
    <w:rsid w:val="004A2A18"/>
    <w:rsid w:val="005466C3"/>
    <w:rsid w:val="006A6321"/>
    <w:rsid w:val="007620C9"/>
    <w:rsid w:val="00772D6F"/>
    <w:rsid w:val="008D41EB"/>
    <w:rsid w:val="008E3C6C"/>
    <w:rsid w:val="008E74FE"/>
    <w:rsid w:val="00904EAD"/>
    <w:rsid w:val="009170C1"/>
    <w:rsid w:val="009405E4"/>
    <w:rsid w:val="00967B77"/>
    <w:rsid w:val="009A5593"/>
    <w:rsid w:val="00A6541E"/>
    <w:rsid w:val="00A70EB5"/>
    <w:rsid w:val="00A83E57"/>
    <w:rsid w:val="00AF4701"/>
    <w:rsid w:val="00B57FAC"/>
    <w:rsid w:val="00B87C3A"/>
    <w:rsid w:val="00BA0D74"/>
    <w:rsid w:val="00BB0BE2"/>
    <w:rsid w:val="00C42737"/>
    <w:rsid w:val="00CF51FD"/>
    <w:rsid w:val="00DE31E4"/>
    <w:rsid w:val="00DF171D"/>
    <w:rsid w:val="00DF6CDF"/>
    <w:rsid w:val="00E00075"/>
    <w:rsid w:val="00E20207"/>
    <w:rsid w:val="00E2370C"/>
    <w:rsid w:val="00E84A5C"/>
    <w:rsid w:val="00E869D7"/>
    <w:rsid w:val="00EB13EF"/>
    <w:rsid w:val="00F71A2A"/>
    <w:rsid w:val="00FC7BF3"/>
    <w:rsid w:val="00FD4345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52399"/>
  <w15:chartTrackingRefBased/>
  <w15:docId w15:val="{BB20A342-B57A-47B7-BC41-A531A223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71D"/>
  </w:style>
  <w:style w:type="paragraph" w:styleId="Heading1">
    <w:name w:val="heading 1"/>
    <w:basedOn w:val="Normal"/>
    <w:next w:val="Normal"/>
    <w:link w:val="Heading1Char"/>
    <w:uiPriority w:val="9"/>
    <w:qFormat/>
    <w:rsid w:val="00DF171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71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71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71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7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7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7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7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71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71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71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71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71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71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71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71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71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171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F171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F171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71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71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DF171D"/>
    <w:rPr>
      <w:b/>
      <w:bCs/>
    </w:rPr>
  </w:style>
  <w:style w:type="character" w:styleId="Emphasis">
    <w:name w:val="Emphasis"/>
    <w:basedOn w:val="DefaultParagraphFont"/>
    <w:uiPriority w:val="20"/>
    <w:qFormat/>
    <w:rsid w:val="00DF171D"/>
    <w:rPr>
      <w:i/>
      <w:iCs/>
      <w:color w:val="000000" w:themeColor="text1"/>
    </w:rPr>
  </w:style>
  <w:style w:type="paragraph" w:styleId="NoSpacing">
    <w:name w:val="No Spacing"/>
    <w:uiPriority w:val="1"/>
    <w:qFormat/>
    <w:rsid w:val="00DF17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171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F171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71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71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171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DF17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F171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171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DF171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171D"/>
    <w:pPr>
      <w:outlineLvl w:val="9"/>
    </w:pPr>
  </w:style>
  <w:style w:type="paragraph" w:styleId="ListParagraph">
    <w:name w:val="List Paragraph"/>
    <w:basedOn w:val="Normal"/>
    <w:uiPriority w:val="34"/>
    <w:qFormat/>
    <w:rsid w:val="00EB13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0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0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2A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tion@povsolutions.c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Nemargut</dc:creator>
  <cp:keywords/>
  <dc:description/>
  <cp:lastModifiedBy>Joe Nemargut</cp:lastModifiedBy>
  <cp:revision>7</cp:revision>
  <cp:lastPrinted>2019-10-02T00:16:00Z</cp:lastPrinted>
  <dcterms:created xsi:type="dcterms:W3CDTF">2019-10-01T20:14:00Z</dcterms:created>
  <dcterms:modified xsi:type="dcterms:W3CDTF">2025-11-09T17:47:00Z</dcterms:modified>
</cp:coreProperties>
</file>